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77777777"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762711">
        <w:rPr>
          <w:rFonts w:cs="Arial"/>
          <w:bCs/>
          <w:noProof w:val="0"/>
          <w:sz w:val="24"/>
          <w:szCs w:val="24"/>
        </w:rPr>
        <w:t>4</w:t>
      </w:r>
      <w:r w:rsidR="000D4B20">
        <w:rPr>
          <w:rFonts w:cs="Arial"/>
          <w:bCs/>
          <w:noProof w:val="0"/>
          <w:sz w:val="24"/>
          <w:szCs w:val="24"/>
        </w:rPr>
        <w:t>-bis</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986815">
        <w:rPr>
          <w:rFonts w:cs="Arial"/>
          <w:bCs/>
          <w:noProof w:val="0"/>
          <w:sz w:val="24"/>
          <w:szCs w:val="24"/>
        </w:rPr>
        <w:t>2</w:t>
      </w:r>
      <w:r w:rsidR="00835417">
        <w:rPr>
          <w:rFonts w:cs="Arial"/>
          <w:bCs/>
          <w:noProof w:val="0"/>
          <w:sz w:val="24"/>
          <w:szCs w:val="24"/>
        </w:rPr>
        <w:t>0155</w:t>
      </w:r>
    </w:p>
    <w:bookmarkEnd w:id="0"/>
    <w:p w14:paraId="5669B020" w14:textId="052A5035"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w:t>
      </w:r>
      <w:r w:rsidR="000D4B20">
        <w:rPr>
          <w:rFonts w:eastAsia="MS Mincho" w:cs="Arial"/>
          <w:sz w:val="24"/>
          <w:szCs w:val="24"/>
        </w:rPr>
        <w:t>7</w:t>
      </w:r>
      <w:r w:rsidR="00F36DA6" w:rsidRPr="000665EA">
        <w:rPr>
          <w:rFonts w:eastAsia="MS Mincho" w:cs="Arial"/>
          <w:sz w:val="24"/>
          <w:szCs w:val="24"/>
        </w:rPr>
        <w:t xml:space="preserve"> </w:t>
      </w:r>
      <w:r w:rsidR="00477911">
        <w:rPr>
          <w:rFonts w:eastAsia="MS Mincho" w:cs="Arial"/>
          <w:sz w:val="24"/>
          <w:szCs w:val="24"/>
        </w:rPr>
        <w:t xml:space="preserve">– </w:t>
      </w:r>
      <w:r w:rsidR="000D4B20">
        <w:rPr>
          <w:rFonts w:eastAsia="MS Mincho" w:cs="Arial"/>
          <w:sz w:val="24"/>
          <w:szCs w:val="24"/>
        </w:rPr>
        <w:t>26</w:t>
      </w:r>
      <w:r w:rsidR="00477911">
        <w:rPr>
          <w:rFonts w:eastAsia="MS Mincho" w:cs="Arial"/>
          <w:sz w:val="24"/>
          <w:szCs w:val="24"/>
        </w:rPr>
        <w:t xml:space="preserve"> </w:t>
      </w:r>
      <w:r w:rsidR="000D4B20">
        <w:rPr>
          <w:rFonts w:eastAsia="MS Mincho" w:cs="Arial"/>
          <w:sz w:val="24"/>
          <w:szCs w:val="24"/>
        </w:rPr>
        <w:t>January</w:t>
      </w:r>
      <w:r w:rsidR="005F10C3" w:rsidRPr="000665EA">
        <w:rPr>
          <w:rFonts w:eastAsia="MS Mincho" w:cs="Arial"/>
          <w:sz w:val="24"/>
          <w:szCs w:val="24"/>
        </w:rPr>
        <w:t xml:space="preserve"> 20</w:t>
      </w:r>
      <w:r w:rsidR="00FA4A45" w:rsidRPr="000665EA">
        <w:rPr>
          <w:rFonts w:eastAsia="MS Mincho" w:cs="Arial"/>
          <w:sz w:val="24"/>
          <w:szCs w:val="24"/>
        </w:rPr>
        <w:t>2</w:t>
      </w:r>
      <w:r w:rsidR="000D4B20">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45BC654D"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835417" w:rsidRPr="00835417">
        <w:rPr>
          <w:rFonts w:cs="Arial"/>
          <w:b/>
          <w:bCs/>
          <w:sz w:val="24"/>
        </w:rPr>
        <w:t>10.2.1.5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683C1200"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B1411A">
        <w:rPr>
          <w:rFonts w:ascii="Arial" w:hAnsi="Arial" w:cs="Arial"/>
          <w:b/>
          <w:bCs/>
          <w:sz w:val="24"/>
        </w:rPr>
        <w:t>Per-beam load balancing and load information from aggregated cells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7484D42B" w:rsidR="005E3D0F" w:rsidRDefault="00241DBB" w:rsidP="008572DC">
      <w:bookmarkStart w:id="1" w:name="_Toc474247438"/>
      <w:r>
        <w:t>At RAN3 #114 meeting, some progress has been achieved – the semantics for the PRB reporting per slice has been clarified. However, other aspects remain open.</w:t>
      </w:r>
    </w:p>
    <w:p w14:paraId="26CC681D" w14:textId="7A511521" w:rsidR="00241DBB" w:rsidRDefault="00241DBB" w:rsidP="008572DC">
      <w:r>
        <w:t xml:space="preserve">In this paper, we address </w:t>
      </w:r>
      <w:r w:rsidR="002A764D">
        <w:t>we address two aspects:</w:t>
      </w:r>
    </w:p>
    <w:p w14:paraId="13A48D93" w14:textId="100D7133" w:rsidR="002A764D" w:rsidRDefault="002A764D" w:rsidP="002A764D">
      <w:pPr>
        <w:pStyle w:val="ListParagraph"/>
        <w:numPr>
          <w:ilvl w:val="0"/>
          <w:numId w:val="40"/>
        </w:numPr>
      </w:pPr>
      <w:r>
        <w:t>Agreed to be enabled load information concerning possibly aggregated cells; and</w:t>
      </w:r>
    </w:p>
    <w:p w14:paraId="6EBC623A" w14:textId="51AC5C14" w:rsidR="002A764D" w:rsidRPr="000665EA" w:rsidRDefault="002A764D" w:rsidP="002A764D">
      <w:pPr>
        <w:pStyle w:val="ListParagraph"/>
        <w:numPr>
          <w:ilvl w:val="0"/>
          <w:numId w:val="40"/>
        </w:numPr>
      </w:pPr>
      <w:r>
        <w:t>Per-beam load balancing, where we propose also a new approach.</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2C7097DB" w:rsidR="008559D6" w:rsidRDefault="00241DBB" w:rsidP="00241DBB">
      <w:pPr>
        <w:pStyle w:val="Heading2"/>
      </w:pPr>
      <w:r>
        <w:t>2.1</w:t>
      </w:r>
      <w:r>
        <w:tab/>
        <w:t>Aggregated cells</w:t>
      </w:r>
    </w:p>
    <w:p w14:paraId="24249041" w14:textId="449291A5" w:rsidR="00947A7A" w:rsidRDefault="00241DBB" w:rsidP="008559D6">
      <w:r>
        <w:t xml:space="preserve">At RAN3 #114, it has been agreed that RAN3 will </w:t>
      </w:r>
      <w:r w:rsidRPr="005E6411">
        <w:rPr>
          <w:rFonts w:ascii="Calibri" w:hAnsi="Calibri" w:cs="Calibri"/>
          <w:b/>
          <w:color w:val="008000"/>
          <w:sz w:val="18"/>
          <w:szCs w:val="24"/>
        </w:rPr>
        <w:t>work on a solution as light as possible for informing about other cells that are relevant to UEs served by a cell and that can be configured as PSCell or SCell for the UE</w:t>
      </w:r>
      <w:r>
        <w:t xml:space="preserve">. One may consider what “relevant cells” means. For sure, it emphasizes </w:t>
      </w:r>
      <w:r w:rsidR="00947A7A">
        <w:t>that a RAN node shall not inform about capacity of all possible SNs, but only those that UEs in the overloaded node/cell may actually be configured with. This means the actual coverage of the possibly aggregated cells is important.</w:t>
      </w:r>
    </w:p>
    <w:p w14:paraId="45EA3012" w14:textId="625D29A4" w:rsidR="00947A7A" w:rsidRDefault="00947A7A" w:rsidP="008559D6">
      <w:r>
        <w:t xml:space="preserve">The coverage is normally considered fairly static, but also hardly controllable. Therefore, typically, it is difficult to frame cell’s coverage in a reasonable signalling patterns and usually “operator’s wisdom” is assumed to be used wherever cell selection depends on its coverage. </w:t>
      </w:r>
    </w:p>
    <w:p w14:paraId="2B1361EE" w14:textId="6716E7A4" w:rsidR="00947A7A" w:rsidRPr="00BF72B4" w:rsidRDefault="00947A7A" w:rsidP="008559D6">
      <w:pPr>
        <w:rPr>
          <w:b/>
          <w:bCs/>
        </w:rPr>
      </w:pPr>
      <w:r w:rsidRPr="00BF72B4">
        <w:rPr>
          <w:b/>
          <w:bCs/>
        </w:rPr>
        <w:t>Proposal 1: The signalling to offer the information on possibly aggregated cells shall enable limiting the number of cells to those that are known to be relevant for UEs that may be handed over. It shall be left FFS how this selection is made.</w:t>
      </w:r>
    </w:p>
    <w:p w14:paraId="74C159EA" w14:textId="14366AB0" w:rsidR="00947A7A" w:rsidRDefault="00BF72B4" w:rsidP="00BF72B4">
      <w:pPr>
        <w:pStyle w:val="Heading2"/>
      </w:pPr>
      <w:r>
        <w:t>2.2</w:t>
      </w:r>
      <w:r>
        <w:tab/>
        <w:t>Per-beam load balancing</w:t>
      </w:r>
    </w:p>
    <w:p w14:paraId="06A7ADC5" w14:textId="00E23420" w:rsidR="00BF72B4" w:rsidRDefault="00444F3C" w:rsidP="008559D6">
      <w:r>
        <w:t>This topic has a long history, but is still not agreed. Some problem preventing completion of the work are support for CHO and support for selecting the “starting point” of the mobility setting change.</w:t>
      </w:r>
    </w:p>
    <w:p w14:paraId="3054FCDA" w14:textId="77777777" w:rsidR="00785B01" w:rsidRDefault="00785B01" w:rsidP="008559D6">
      <w:r>
        <w:t>The mobility setting change is supposed to handle both, classic HOs and CHOs (and actually, based on implementation, it may be mapped onto the reselection criteria for idle UEs). And indeed, technically, the modified thresholds can be provided to a UE as a CHO criteria. Thus, at this moment, CHO is supported in the MSC.</w:t>
      </w:r>
    </w:p>
    <w:p w14:paraId="29466FB1" w14:textId="1FB0A985" w:rsidR="00785B01" w:rsidRDefault="00785B01" w:rsidP="008559D6">
      <w:r>
        <w:t>However, the mechanism proposed for handling the per-beam MSC assumes that the serving node knows the beam of the UE and the target cell at the moment the HO is to be triggered. This is not true in case of CHO – the UE selects the target node autonomously among the prepared candidates. Furthermore, the RRC signalling doesn’t offer any hooks to use to provide the UE with different execution criteria depending on the beam-target combination. This, practically, disables using the per-beam MSC with the CHO.</w:t>
      </w:r>
    </w:p>
    <w:p w14:paraId="34E3BA38" w14:textId="77777777" w:rsidR="00785B01" w:rsidRPr="00785B01" w:rsidRDefault="00785B01" w:rsidP="00785B01">
      <w:pPr>
        <w:rPr>
          <w:b/>
          <w:bCs/>
        </w:rPr>
      </w:pPr>
      <w:r w:rsidRPr="00785B01">
        <w:rPr>
          <w:b/>
          <w:bCs/>
        </w:rPr>
        <w:lastRenderedPageBreak/>
        <w:t>Proposal 2: Since CHO is supported with the current form of the Mobility Setting Change, the possible solution for per-beam Mobility Setting Change shall include CHO, too.</w:t>
      </w:r>
    </w:p>
    <w:p w14:paraId="576410C2" w14:textId="36C26A6A" w:rsidR="00785B01" w:rsidRDefault="00785B01" w:rsidP="008559D6">
      <w:r>
        <w:t>The solution for this problem probably can’t be find in RAN3 alone. Therefore, RAN3 shall ask RAN2 to enable the needed signalling over the RRC.</w:t>
      </w:r>
    </w:p>
    <w:p w14:paraId="5B793FD8" w14:textId="5FC62423" w:rsidR="00785B01" w:rsidRPr="00785B01" w:rsidRDefault="00785B01" w:rsidP="008559D6">
      <w:pPr>
        <w:rPr>
          <w:b/>
          <w:bCs/>
        </w:rPr>
      </w:pPr>
      <w:r w:rsidRPr="00785B01">
        <w:rPr>
          <w:b/>
          <w:bCs/>
        </w:rPr>
        <w:t>Proposal 3: RAN3 shall ask RAN2 to enable the needed enhancements in the RRC, so that the per-beam Mobility Setting Change can work with CHO.</w:t>
      </w:r>
    </w:p>
    <w:p w14:paraId="101E231E" w14:textId="1DBE929A" w:rsidR="005D0305" w:rsidRDefault="00D26122" w:rsidP="005D0305">
      <w:r>
        <w:t xml:space="preserve">RAN3 may consider also more radical form of per-beam load balancing: switching off overloaded beam completely. </w:t>
      </w:r>
      <w:r w:rsidR="005D0305">
        <w:t xml:space="preserve">As 5G employs higher operating frequencies than LTE, order to achieve the desired coverage, it makes use of beam forming. Depending on the frequency band (FR1 &lt; 6GHz or FR2 &gt; 6GHz) and hardware limitations, analogue, digital or hybrid beam forming techniques are used.  In FR2, RF beam forming is used, which means one or very few beams will be active at the same time, while the other beams have to wait to be scheduled. This means reduced intra-cell/inter-beam interference but also increased delays which may be critical for some services. This also means a beam can not be overloaded, only a cell can be, as the beams take turn in using all the resources of the cell. A reasonable scheduler implementation will just schedule a crowded beam more often in order to achieve some sort of throughput fairness. </w:t>
      </w:r>
    </w:p>
    <w:p w14:paraId="47CA1B79" w14:textId="02D972F5" w:rsidR="005D0305" w:rsidRPr="00DD14AB" w:rsidRDefault="005D0305" w:rsidP="005D0305">
      <w:r w:rsidRPr="00DD14AB">
        <w:t>Beam based access</w:t>
      </w:r>
      <w:r>
        <w:t>,</w:t>
      </w:r>
      <w:r w:rsidRPr="00DD14AB">
        <w:t xml:space="preserve"> however</w:t>
      </w:r>
      <w:r>
        <w:t>,</w:t>
      </w:r>
      <w:r w:rsidRPr="00DD14AB">
        <w:t xml:space="preserve"> present</w:t>
      </w:r>
      <w:r>
        <w:t>s</w:t>
      </w:r>
      <w:r w:rsidRPr="00DD14AB">
        <w:t xml:space="preserve"> opportunities for new methods of load balancing</w:t>
      </w:r>
      <w:r>
        <w:t>. More specifically, the coverage of the overloaded serving cell may be slightly and temporarily adjusted by switching off certain beams. This will determine users to be handed over to neighbouring cells that are less loaded. However, the advantage is that the users targeted for load balancing will not suffer from interference of the previously serving beam (which now will be switched off) while the users that are not targeted for load balancing in the overloaded cell are not impacted. By deactivating selected beam(s), the overloaded cell can improve user throughput and latency for the UEs that are left in the cell. The UEs that are handed over may also experience gains in throughput as the target cell is less crowded.</w:t>
      </w:r>
    </w:p>
    <w:p w14:paraId="50015BEB" w14:textId="6998ACB2" w:rsidR="005D0305" w:rsidRDefault="005D0305" w:rsidP="005D0305">
      <w:r>
        <w:t xml:space="preserve">If we assume two cells, A and B, we can consider the minimum needed signalling. Firstly, the overloaded cell (Cell A) needs to determine which beams of the overloaded ones can be turned off. This information is already available in Cell A, that knows at all times, how many users are served by each beam. Secondly, Cell A has to identify potential for offload to neighbouring cells. Cell A can read from existing load information via X2/Xn that a neighbouring cell (Cell B) has spare capacity, and thus may consider load balancing actions towards this cell. Moreover, based on beam level measurements received from the UEs in the overloaded beams, Cell A can anticipate if these users will be able to easily connect to another beam, either in Cell A or in Cell B, if their current serving beam in Cell A is switched off. Cell A may also use this information to estimate the impact the offloaded users would have on the load of Cell B. Lastly, Cell A needs to negotiate with Cell B if such a load balancing action is agreeable. This can be done by enhancing the exiting MOBILITY CHANGE REQUEST to include an indication from Cell A to Cell B about the previously estimated impact the beam deactivation may have on  Cell B. Cell B may indicate in return, via an enhanced version of MOBILITY </w:t>
      </w:r>
      <w:r w:rsidRPr="0093575C">
        <w:rPr>
          <w:bCs/>
        </w:rPr>
        <w:t>CHANGE ACKWNOLEDGE</w:t>
      </w:r>
      <w:r>
        <w:rPr>
          <w:b/>
        </w:rPr>
        <w:t xml:space="preserve"> </w:t>
      </w:r>
      <w:r>
        <w:t>message if it (partially) accepts or refuses (</w:t>
      </w:r>
      <w:r w:rsidRPr="0093575C">
        <w:rPr>
          <w:bCs/>
        </w:rPr>
        <w:t>MOBILTY CHANGE FAILURE</w:t>
      </w:r>
      <w:r>
        <w:t xml:space="preserve">) such actions. </w:t>
      </w:r>
    </w:p>
    <w:p w14:paraId="212611B7" w14:textId="4644A638" w:rsidR="00A71231" w:rsidRDefault="00A71231" w:rsidP="005D0305">
      <w:r>
        <w:t>One may note also, that beam deactivation will help solving overload also in case CHO is used – UEs will not be able to use deactivated beams for CHO.</w:t>
      </w:r>
    </w:p>
    <w:p w14:paraId="1A3E230F" w14:textId="24B94C68" w:rsidR="00A71231" w:rsidRPr="00C80CB3" w:rsidRDefault="00A71231" w:rsidP="00A71231">
      <w:r w:rsidRPr="0093575C">
        <w:rPr>
          <w:b/>
          <w:bCs/>
        </w:rPr>
        <w:t xml:space="preserve">Proposal </w:t>
      </w:r>
      <w:r>
        <w:rPr>
          <w:b/>
          <w:bCs/>
        </w:rPr>
        <w:t>4</w:t>
      </w:r>
      <w:r w:rsidRPr="0093575C">
        <w:rPr>
          <w:b/>
          <w:bCs/>
        </w:rPr>
        <w:t xml:space="preserve">: </w:t>
      </w:r>
      <w:r>
        <w:rPr>
          <w:b/>
          <w:bCs/>
        </w:rPr>
        <w:t>RAN3 shall consider e</w:t>
      </w:r>
      <w:r w:rsidRPr="0093575C">
        <w:rPr>
          <w:b/>
          <w:bCs/>
        </w:rPr>
        <w:t>nhanc</w:t>
      </w:r>
      <w:r>
        <w:rPr>
          <w:b/>
          <w:bCs/>
        </w:rPr>
        <w:t>ing</w:t>
      </w:r>
      <w:r w:rsidRPr="0093575C">
        <w:rPr>
          <w:b/>
          <w:bCs/>
        </w:rPr>
        <w:t xml:space="preserve"> the existing MOBILITY CHANGE REQEST and MOBILITY CHANGE ACKNOLEDGE messages to negotiate load balancing via beam deactivation. </w:t>
      </w:r>
    </w:p>
    <w:p w14:paraId="4F653CBD" w14:textId="13855FC8" w:rsidR="00785B01" w:rsidRDefault="00785B01" w:rsidP="008559D6">
      <w:r>
        <w:t xml:space="preserve">Furthermore, in the discussion on the per-beam MSC, the need of enabling information exchange </w:t>
      </w:r>
      <w:r w:rsidR="00651F35">
        <w:t xml:space="preserve">to set the starting point has been presented [1]. This </w:t>
      </w:r>
      <w:r w:rsidR="00177F09">
        <w:t>can be summarised, that the DU shall be enabled to inform the CU about the per-beam triggering point. This point may then be used as the starting point for the per-beam MSC, but can also be used as the triggering reference alone.</w:t>
      </w:r>
    </w:p>
    <w:p w14:paraId="660CAC7E" w14:textId="0A7B4BDE" w:rsidR="00177F09" w:rsidRPr="00177F09" w:rsidRDefault="00177F09" w:rsidP="008559D6">
      <w:pPr>
        <w:rPr>
          <w:b/>
          <w:bCs/>
        </w:rPr>
      </w:pPr>
      <w:r w:rsidRPr="00177F09">
        <w:rPr>
          <w:b/>
          <w:bCs/>
        </w:rPr>
        <w:t xml:space="preserve">Proposal </w:t>
      </w:r>
      <w:r w:rsidR="00835417">
        <w:rPr>
          <w:b/>
          <w:bCs/>
        </w:rPr>
        <w:t>5</w:t>
      </w:r>
      <w:r w:rsidRPr="00177F09">
        <w:rPr>
          <w:b/>
          <w:bCs/>
        </w:rPr>
        <w:t xml:space="preserve">: As discussed at RAN3 #114 </w:t>
      </w:r>
      <w:r w:rsidR="00835417">
        <w:rPr>
          <w:b/>
          <w:bCs/>
        </w:rPr>
        <w:t xml:space="preserve">[1] </w:t>
      </w:r>
      <w:r w:rsidRPr="00177F09">
        <w:rPr>
          <w:b/>
          <w:bCs/>
        </w:rPr>
        <w:t>and before, the DU shall be enabled to inform the CU about the HO triggering point. RAN3 shall consider if such enhancement can help load handling in the DU even without the per-beam Mobility Setting Change.</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3ECD2557" w:rsidR="002F4257" w:rsidRDefault="002F4257" w:rsidP="00D20DF3">
      <w:pPr>
        <w:jc w:val="both"/>
        <w:rPr>
          <w:bCs/>
        </w:rPr>
      </w:pPr>
      <w:r>
        <w:rPr>
          <w:bCs/>
        </w:rPr>
        <w:t xml:space="preserve">In this paper, </w:t>
      </w:r>
      <w:r w:rsidR="00835417">
        <w:rPr>
          <w:bCs/>
        </w:rPr>
        <w:t>we address two points left still open: including aggregated cells in the load reporting and per-beam load balancing. We make following proposals:</w:t>
      </w:r>
    </w:p>
    <w:p w14:paraId="69416112" w14:textId="33EB8146" w:rsidR="00835417" w:rsidRPr="00835417" w:rsidRDefault="00835417" w:rsidP="00835417">
      <w:pPr>
        <w:pStyle w:val="ListParagraph"/>
        <w:numPr>
          <w:ilvl w:val="0"/>
          <w:numId w:val="41"/>
        </w:numPr>
        <w:ind w:left="714" w:hanging="357"/>
        <w:contextualSpacing w:val="0"/>
        <w:jc w:val="both"/>
        <w:rPr>
          <w:bCs/>
        </w:rPr>
      </w:pPr>
      <w:r w:rsidRPr="00835417">
        <w:rPr>
          <w:bCs/>
        </w:rPr>
        <w:lastRenderedPageBreak/>
        <w:t>The signalling to offer the information on possibly aggregated cells shall enable limiting the number of cells to those that are known to be relevant for UEs that may be handed over. It shall be left FFS how this selection is made.</w:t>
      </w:r>
    </w:p>
    <w:p w14:paraId="0C35E7BA" w14:textId="6CCB3338" w:rsidR="00835417" w:rsidRPr="00835417" w:rsidRDefault="00835417" w:rsidP="00835417">
      <w:pPr>
        <w:pStyle w:val="ListParagraph"/>
        <w:numPr>
          <w:ilvl w:val="0"/>
          <w:numId w:val="41"/>
        </w:numPr>
        <w:ind w:left="714" w:hanging="357"/>
        <w:contextualSpacing w:val="0"/>
        <w:jc w:val="both"/>
        <w:rPr>
          <w:bCs/>
        </w:rPr>
      </w:pPr>
      <w:r w:rsidRPr="00835417">
        <w:rPr>
          <w:bCs/>
        </w:rPr>
        <w:t>Since CHO is supported with the current form of the Mobility Setting Change, the possible solution for per-beam Mobility Setting Change shall include CHO, too.</w:t>
      </w:r>
    </w:p>
    <w:p w14:paraId="0B078B89" w14:textId="4A78CE8C" w:rsidR="00835417" w:rsidRPr="00835417" w:rsidRDefault="00835417" w:rsidP="00835417">
      <w:pPr>
        <w:pStyle w:val="ListParagraph"/>
        <w:numPr>
          <w:ilvl w:val="0"/>
          <w:numId w:val="41"/>
        </w:numPr>
        <w:ind w:left="714" w:hanging="357"/>
        <w:contextualSpacing w:val="0"/>
        <w:jc w:val="both"/>
        <w:rPr>
          <w:bCs/>
        </w:rPr>
      </w:pPr>
      <w:r w:rsidRPr="00835417">
        <w:rPr>
          <w:bCs/>
        </w:rPr>
        <w:t>RAN3 shall ask RAN2 to enable the needed enhancements in the RRC, so that the per-beam Mobility Setting Change can work with CHO.</w:t>
      </w:r>
    </w:p>
    <w:p w14:paraId="3B80CCC1" w14:textId="1798BD95" w:rsidR="00835417" w:rsidRPr="00835417" w:rsidRDefault="00835417" w:rsidP="00835417">
      <w:pPr>
        <w:pStyle w:val="ListParagraph"/>
        <w:numPr>
          <w:ilvl w:val="0"/>
          <w:numId w:val="41"/>
        </w:numPr>
        <w:ind w:left="714" w:hanging="357"/>
        <w:contextualSpacing w:val="0"/>
        <w:jc w:val="both"/>
        <w:rPr>
          <w:bCs/>
        </w:rPr>
      </w:pPr>
      <w:r w:rsidRPr="00835417">
        <w:rPr>
          <w:bCs/>
        </w:rPr>
        <w:t xml:space="preserve">RAN3 shall consider enhancing the existing MOBILITY CHANGE REQEST and MOBILITY CHANGE ACKNOLEDGE messages to negotiate load balancing via beam deactivation. </w:t>
      </w:r>
    </w:p>
    <w:p w14:paraId="5F1E5A70" w14:textId="677F5D3D" w:rsidR="00835417" w:rsidRPr="00835417" w:rsidRDefault="00835417" w:rsidP="00835417">
      <w:pPr>
        <w:pStyle w:val="ListParagraph"/>
        <w:numPr>
          <w:ilvl w:val="0"/>
          <w:numId w:val="41"/>
        </w:numPr>
        <w:ind w:left="714" w:hanging="357"/>
        <w:contextualSpacing w:val="0"/>
        <w:jc w:val="both"/>
        <w:rPr>
          <w:bCs/>
        </w:rPr>
      </w:pPr>
      <w:r w:rsidRPr="00835417">
        <w:rPr>
          <w:bCs/>
        </w:rPr>
        <w:t xml:space="preserve">As discussed at RAN3 #114 </w:t>
      </w:r>
      <w:r>
        <w:rPr>
          <w:bCs/>
        </w:rPr>
        <w:t xml:space="preserve">[1] </w:t>
      </w:r>
      <w:r w:rsidRPr="00835417">
        <w:rPr>
          <w:bCs/>
        </w:rPr>
        <w:t>and before, the DU shall be enabled to inform the CU about the HO triggering point. RAN3 shall consider if such enhancement can help load handling in the DU even without the per-beam Mobility Setting Change.</w:t>
      </w:r>
    </w:p>
    <w:p w14:paraId="35C078EA" w14:textId="5488B7A6" w:rsidR="00835417" w:rsidRDefault="00835417" w:rsidP="00835417">
      <w:pPr>
        <w:jc w:val="both"/>
        <w:rPr>
          <w:bCs/>
        </w:rPr>
      </w:pPr>
      <w:r>
        <w:rPr>
          <w:bCs/>
        </w:rPr>
        <w:t xml:space="preserve">A TP related to the proposal 5 above </w:t>
      </w:r>
      <w:r w:rsidR="00820AAA">
        <w:rPr>
          <w:bCs/>
        </w:rPr>
        <w:t>is</w:t>
      </w:r>
      <w:r>
        <w:rPr>
          <w:bCs/>
        </w:rPr>
        <w:t xml:space="preserve"> offered in [</w:t>
      </w:r>
      <w:r w:rsidR="00820AAA">
        <w:rPr>
          <w:bCs/>
        </w:rPr>
        <w:t>2</w:t>
      </w:r>
      <w:r>
        <w:rPr>
          <w:bCs/>
        </w:rPr>
        <w:t>].</w:t>
      </w:r>
    </w:p>
    <w:p w14:paraId="483F8717" w14:textId="77777777" w:rsidR="00403B9B" w:rsidRPr="000665EA" w:rsidRDefault="00403B9B" w:rsidP="00403B9B">
      <w:pPr>
        <w:pStyle w:val="Heading1"/>
      </w:pPr>
      <w:r w:rsidRPr="000665EA">
        <w:t>References</w:t>
      </w:r>
    </w:p>
    <w:p w14:paraId="65C3740D" w14:textId="1BFA38E5" w:rsidR="002F4257" w:rsidRDefault="00651F35" w:rsidP="008A3464">
      <w:pPr>
        <w:numPr>
          <w:ilvl w:val="0"/>
          <w:numId w:val="4"/>
        </w:numPr>
        <w:overflowPunct w:val="0"/>
        <w:autoSpaceDE w:val="0"/>
        <w:autoSpaceDN w:val="0"/>
        <w:adjustRightInd w:val="0"/>
        <w:textAlignment w:val="baseline"/>
      </w:pPr>
      <w:r>
        <w:t>R3-214812, RAN3 #114</w:t>
      </w:r>
    </w:p>
    <w:p w14:paraId="696557A5" w14:textId="7FBBBB11" w:rsidR="00820AAA" w:rsidRPr="000665EA" w:rsidRDefault="00820AAA" w:rsidP="008A3464">
      <w:pPr>
        <w:numPr>
          <w:ilvl w:val="0"/>
          <w:numId w:val="4"/>
        </w:numPr>
        <w:overflowPunct w:val="0"/>
        <w:autoSpaceDE w:val="0"/>
        <w:autoSpaceDN w:val="0"/>
        <w:adjustRightInd w:val="0"/>
        <w:textAlignment w:val="baseline"/>
      </w:pPr>
      <w:r>
        <w:t>R3-220156, RAN3 #114-bis</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BDE62" w14:textId="77777777" w:rsidR="00E85C44" w:rsidRDefault="00E85C44">
      <w:r>
        <w:separator/>
      </w:r>
    </w:p>
  </w:endnote>
  <w:endnote w:type="continuationSeparator" w:id="0">
    <w:p w14:paraId="5C2AE11D" w14:textId="77777777" w:rsidR="00E85C44" w:rsidRDefault="00E85C44">
      <w:r>
        <w:continuationSeparator/>
      </w:r>
    </w:p>
  </w:endnote>
  <w:endnote w:type="continuationNotice" w:id="1">
    <w:p w14:paraId="668A79A2" w14:textId="77777777" w:rsidR="00E85C44" w:rsidRDefault="00E85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C8205" w14:textId="77777777" w:rsidR="00E85C44" w:rsidRDefault="00E85C44">
      <w:r>
        <w:separator/>
      </w:r>
    </w:p>
  </w:footnote>
  <w:footnote w:type="continuationSeparator" w:id="0">
    <w:p w14:paraId="3A41CC2C" w14:textId="77777777" w:rsidR="00E85C44" w:rsidRDefault="00E85C44">
      <w:r>
        <w:continuationSeparator/>
      </w:r>
    </w:p>
  </w:footnote>
  <w:footnote w:type="continuationNotice" w:id="1">
    <w:p w14:paraId="58B50FEB" w14:textId="77777777" w:rsidR="00E85C44" w:rsidRDefault="00E85C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E7407B"/>
    <w:multiLevelType w:val="hybridMultilevel"/>
    <w:tmpl w:val="D02009F2"/>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E630CD"/>
    <w:multiLevelType w:val="hybridMultilevel"/>
    <w:tmpl w:val="CC3A4FA0"/>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1"/>
  </w:num>
  <w:num w:numId="3">
    <w:abstractNumId w:val="15"/>
  </w:num>
  <w:num w:numId="4">
    <w:abstractNumId w:val="9"/>
  </w:num>
  <w:num w:numId="5">
    <w:abstractNumId w:val="10"/>
  </w:num>
  <w:num w:numId="6">
    <w:abstractNumId w:val="39"/>
  </w:num>
  <w:num w:numId="7">
    <w:abstractNumId w:val="25"/>
  </w:num>
  <w:num w:numId="8">
    <w:abstractNumId w:val="16"/>
  </w:num>
  <w:num w:numId="9">
    <w:abstractNumId w:val="38"/>
  </w:num>
  <w:num w:numId="10">
    <w:abstractNumId w:val="24"/>
  </w:num>
  <w:num w:numId="11">
    <w:abstractNumId w:val="13"/>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6"/>
  </w:num>
  <w:num w:numId="29">
    <w:abstractNumId w:val="37"/>
  </w:num>
  <w:num w:numId="30">
    <w:abstractNumId w:val="26"/>
  </w:num>
  <w:num w:numId="31">
    <w:abstractNumId w:val="23"/>
  </w:num>
  <w:num w:numId="32">
    <w:abstractNumId w:val="18"/>
  </w:num>
  <w:num w:numId="33">
    <w:abstractNumId w:val="28"/>
  </w:num>
  <w:num w:numId="34">
    <w:abstractNumId w:val="12"/>
  </w:num>
  <w:num w:numId="35">
    <w:abstractNumId w:val="11"/>
  </w:num>
  <w:num w:numId="36">
    <w:abstractNumId w:val="35"/>
  </w:num>
  <w:num w:numId="37">
    <w:abstractNumId w:val="22"/>
  </w:num>
  <w:num w:numId="38">
    <w:abstractNumId w:val="29"/>
  </w:num>
  <w:num w:numId="39">
    <w:abstractNumId w:val="40"/>
  </w:num>
  <w:num w:numId="40">
    <w:abstractNumId w:val="14"/>
  </w:num>
  <w:num w:numId="41">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B2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24F"/>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77F09"/>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1DBB"/>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28A1"/>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64D"/>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3BDB"/>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4F3C"/>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0305"/>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35"/>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5B01"/>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0AAA"/>
    <w:rsid w:val="008218C2"/>
    <w:rsid w:val="00824626"/>
    <w:rsid w:val="008259EE"/>
    <w:rsid w:val="00830656"/>
    <w:rsid w:val="008340CB"/>
    <w:rsid w:val="00834649"/>
    <w:rsid w:val="00835417"/>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45D2"/>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47A7A"/>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6815"/>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AAA"/>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231"/>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411A"/>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2B4"/>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26122"/>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5C44"/>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151</TotalTime>
  <Pages>3</Pages>
  <Words>1267</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8473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Per-beam load balancing and load information from aggregated cells</dc:title>
  <dc:subject>3GPP RAN3 #114-bis-e</dc:subject>
  <dc:creator>Benoist Sébire</dc:creator>
  <cp:keywords>&lt;keyword[, keyword, ]&gt;</cp:keywords>
  <dc:description/>
  <cp:lastModifiedBy>Nokia</cp:lastModifiedBy>
  <cp:revision>51</cp:revision>
  <cp:lastPrinted>2019-03-27T07:16:00Z</cp:lastPrinted>
  <dcterms:created xsi:type="dcterms:W3CDTF">2019-10-03T12:07:00Z</dcterms:created>
  <dcterms:modified xsi:type="dcterms:W3CDTF">2022-01-06T10:37:00Z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